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CUESTIONARIO 2</w:t>
      </w:r>
    </w:p>
    <w:p w:rsidR="00000000" w:rsidDel="00000000" w:rsidP="00000000" w:rsidRDefault="00000000" w:rsidRPr="00000000" w14:paraId="00000002">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1.Consulta la siguiente lectura: Hans Joas, </w:t>
      </w:r>
      <w:r w:rsidDel="00000000" w:rsidR="00000000" w:rsidRPr="00000000">
        <w:rPr>
          <w:rFonts w:ascii="Calibri" w:cs="Calibri" w:eastAsia="Calibri" w:hAnsi="Calibri"/>
          <w:i w:val="1"/>
          <w:rtl w:val="0"/>
        </w:rPr>
        <w:t xml:space="preserve">Introducción</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i w:val="1"/>
          <w:rtl w:val="0"/>
        </w:rPr>
        <w:t xml:space="preserve">Lección primera ¿Qué es teoría?</w:t>
      </w:r>
      <w:r w:rsidDel="00000000" w:rsidR="00000000" w:rsidRPr="00000000">
        <w:rPr>
          <w:rFonts w:ascii="Calibri" w:cs="Calibri" w:eastAsia="Calibri" w:hAnsi="Calibri"/>
          <w:rtl w:val="0"/>
        </w:rPr>
        <w:t xml:space="preserve">,  y responde: ¿Cuáles son las características del pluralismo teórico contemporáneo?</w:t>
      </w:r>
    </w:p>
    <w:p w:rsidR="00000000" w:rsidDel="00000000" w:rsidP="00000000" w:rsidRDefault="00000000" w:rsidRPr="00000000" w14:paraId="00000003">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2. Consulta la siguiente lectura:  Adriana García, Introducción a </w:t>
      </w:r>
      <w:r w:rsidDel="00000000" w:rsidR="00000000" w:rsidRPr="00000000">
        <w:rPr>
          <w:rFonts w:ascii="Calibri" w:cs="Calibri" w:eastAsia="Calibri" w:hAnsi="Calibri"/>
          <w:i w:val="1"/>
          <w:rtl w:val="0"/>
        </w:rPr>
        <w:t xml:space="preserve">Teoría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Sociológica Contemporánea: un debate inconcluso</w:t>
      </w:r>
      <w:r w:rsidDel="00000000" w:rsidR="00000000" w:rsidRPr="00000000">
        <w:rPr>
          <w:rFonts w:ascii="Calibri" w:cs="Calibri" w:eastAsia="Calibri" w:hAnsi="Calibri"/>
          <w:rtl w:val="0"/>
        </w:rPr>
        <w:t xml:space="preserve">, y responde: Si el debate interno de la teoría no deviene en la exclusividad de alguna perspectiva en detrimento de las otras, sino en la fertilidad de los ángulos de observación ¿en qué sentido es que se tiene que actualizar constantemente la teoría sociológica, en sentido de los debates internos o con la observación de los problemas de la sociedad?</w:t>
      </w:r>
    </w:p>
    <w:p w:rsidR="00000000" w:rsidDel="00000000" w:rsidP="00000000" w:rsidRDefault="00000000" w:rsidRPr="00000000" w14:paraId="00000004">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3. Consulta la siguiente lectura: George Ritzer</w:t>
      </w:r>
      <w:r w:rsidDel="00000000" w:rsidR="00000000" w:rsidRPr="00000000">
        <w:rPr>
          <w:rFonts w:ascii="Calibri" w:cs="Calibri" w:eastAsia="Calibri" w:hAnsi="Calibri"/>
          <w:i w:val="1"/>
          <w:rtl w:val="0"/>
        </w:rPr>
        <w:t xml:space="preserve">, Integración micro-macro</w:t>
      </w:r>
      <w:r w:rsidDel="00000000" w:rsidR="00000000" w:rsidRPr="00000000">
        <w:rPr>
          <w:rFonts w:ascii="Calibri" w:cs="Calibri" w:eastAsia="Calibri" w:hAnsi="Calibri"/>
          <w:rtl w:val="0"/>
        </w:rPr>
        <w:t xml:space="preserve">, en Teoría Sociológica Contemporánea (pp. 455-478), y responde: ¿Qué intenta hacer la llamada síntesis micro-macro?</w:t>
      </w:r>
    </w:p>
    <w:p w:rsidR="00000000" w:rsidDel="00000000" w:rsidP="00000000" w:rsidRDefault="00000000" w:rsidRPr="00000000" w14:paraId="00000005">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4. Consulta la siguiente lectura: George Ritzer</w:t>
      </w:r>
      <w:r w:rsidDel="00000000" w:rsidR="00000000" w:rsidRPr="00000000">
        <w:rPr>
          <w:rFonts w:ascii="Calibri" w:cs="Calibri" w:eastAsia="Calibri" w:hAnsi="Calibri"/>
          <w:i w:val="1"/>
          <w:rtl w:val="0"/>
        </w:rPr>
        <w:t xml:space="preserve">, Síntesis de la teoría sociológica: I</w:t>
      </w:r>
      <w:r w:rsidDel="00000000" w:rsidR="00000000" w:rsidRPr="00000000">
        <w:rPr>
          <w:rFonts w:ascii="Calibri" w:cs="Calibri" w:eastAsia="Calibri" w:hAnsi="Calibri"/>
          <w:rtl w:val="0"/>
        </w:rPr>
        <w:t xml:space="preserve">, en “Teoría Sociológica Contemporánea” (pp. 527-534), y responde ¿En qué consiste la crítica interna del neofuncionalismo?</w:t>
      </w:r>
    </w:p>
    <w:p w:rsidR="00000000" w:rsidDel="00000000" w:rsidP="00000000" w:rsidRDefault="00000000" w:rsidRPr="00000000" w14:paraId="00000006">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5. Consulta la siguiente lectura:  George Ritzer</w:t>
      </w:r>
      <w:r w:rsidDel="00000000" w:rsidR="00000000" w:rsidRPr="00000000">
        <w:rPr>
          <w:rFonts w:ascii="Calibri" w:cs="Calibri" w:eastAsia="Calibri" w:hAnsi="Calibri"/>
          <w:i w:val="1"/>
          <w:rtl w:val="0"/>
        </w:rPr>
        <w:t xml:space="preserve">, Síntesis de la teoría sociológica: I</w:t>
      </w:r>
      <w:r w:rsidDel="00000000" w:rsidR="00000000" w:rsidRPr="00000000">
        <w:rPr>
          <w:rFonts w:ascii="Calibri" w:cs="Calibri" w:eastAsia="Calibri" w:hAnsi="Calibri"/>
          <w:rtl w:val="0"/>
        </w:rPr>
        <w:t xml:space="preserve">, en “Teoría Sociológica Contemporánea” (pp. 534-540) y responde: ¿Qué aporta la teoría del conflicto cuando agrega el nivel micro a las teorizaciones de la estructura social?</w:t>
      </w:r>
    </w:p>
    <w:p w:rsidR="00000000" w:rsidDel="00000000" w:rsidP="00000000" w:rsidRDefault="00000000" w:rsidRPr="00000000" w14:paraId="00000007">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6. Consulta la siguiente lectura: Hans Joas, Teoría social. Veinte lecciones introductorias, Lección sexta. Enfoques interpretativos (I), (p. 127-152) y responde: ¿Cuál es el papel que tiene el lenguaje en el interaccionismo simbólico?</w:t>
      </w:r>
    </w:p>
    <w:p w:rsidR="00000000" w:rsidDel="00000000" w:rsidP="00000000" w:rsidRDefault="00000000" w:rsidRPr="00000000" w14:paraId="00000008">
      <w:pPr>
        <w:spacing w:after="200" w:line="276" w:lineRule="auto"/>
        <w:ind w:left="360" w:firstLine="0"/>
        <w:jc w:val="both"/>
        <w:rPr/>
      </w:pPr>
      <w:r w:rsidDel="00000000" w:rsidR="00000000" w:rsidRPr="00000000">
        <w:rPr>
          <w:rFonts w:ascii="Calibri" w:cs="Calibri" w:eastAsia="Calibri" w:hAnsi="Calibri"/>
          <w:rtl w:val="0"/>
        </w:rPr>
        <w:t xml:space="preserve">7. Consulta la siguiente lectura:  George Ritzer</w:t>
      </w:r>
      <w:r w:rsidDel="00000000" w:rsidR="00000000" w:rsidRPr="00000000">
        <w:rPr>
          <w:rFonts w:ascii="Calibri" w:cs="Calibri" w:eastAsia="Calibri" w:hAnsi="Calibri"/>
          <w:i w:val="1"/>
          <w:rtl w:val="0"/>
        </w:rPr>
        <w:t xml:space="preserve">, Integración acción-estructura</w:t>
      </w:r>
      <w:r w:rsidDel="00000000" w:rsidR="00000000" w:rsidRPr="00000000">
        <w:rPr>
          <w:rFonts w:ascii="Calibri" w:cs="Calibri" w:eastAsia="Calibri" w:hAnsi="Calibri"/>
          <w:rtl w:val="0"/>
        </w:rPr>
        <w:t xml:space="preserve">, en “Teoría Sociológica Contemporánea” (pp. 489-521), y responde: En la perspectiva de la integración acción-estructura, ¿qué papel juega la acción ante la estructura?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