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Guía práctica de señales eléctricas de las neuronas.</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Favor de contestar las siguientes preguntas:</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función del soma en una neurona?</w:t>
      </w: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función de las dendritas de una neurona?</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función del axón neuronal?</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es un potencial de acción?</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es un umbral?</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dónde se encuentra más concentrado el ión (K</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respecto a la membrana celular?</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 dónde se encuentra más concentrado el ión (Na</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respecto a la membrana celular?</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proteína transmembranal que permite el paso de iones específicos, a través de la membrana celular?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¿Cuál es la técnica que permite medir las propiedades eléctricas de las neuronas?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¿Qué fármacos bloquean los canales de (Na</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ind w:left="36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Ejercicios Prácticos utilizando el Simulador MetaNeuron</w:t>
      </w:r>
    </w:p>
    <w:p w:rsidR="00000000" w:rsidDel="00000000" w:rsidP="00000000" w:rsidRDefault="00000000" w:rsidRPr="00000000" w14:paraId="00000012">
      <w:pPr>
        <w:ind w:left="36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 ¿Cuál es el potencial de membrana de acuerdo a las siguientes concentraciones intracelulares y extracelulares de los iones Sodio y Potasio?</w:t>
      </w:r>
    </w:p>
    <w:p w:rsidR="00000000" w:rsidDel="00000000" w:rsidP="00000000" w:rsidRDefault="00000000" w:rsidRPr="00000000" w14:paraId="00000014">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Permeabilidad de Na</w:t>
      </w:r>
      <w:r w:rsidDel="00000000" w:rsidR="00000000" w:rsidRPr="00000000">
        <w:rPr>
          <w:rFonts w:ascii="Arial" w:cs="Arial" w:eastAsia="Arial" w:hAnsi="Arial"/>
          <w:sz w:val="24"/>
          <w:szCs w:val="24"/>
          <w:vertAlign w:val="superscript"/>
          <w:rtl w:val="0"/>
        </w:rPr>
        <w:t xml:space="preserve">+</w:t>
      </w:r>
      <w:r w:rsidDel="00000000" w:rsidR="00000000" w:rsidRPr="00000000">
        <w:rPr>
          <w:rFonts w:ascii="Arial" w:cs="Arial" w:eastAsia="Arial" w:hAnsi="Arial"/>
          <w:sz w:val="24"/>
          <w:szCs w:val="24"/>
          <w:rtl w:val="0"/>
        </w:rPr>
        <w:t xml:space="preserve">: 1</w:t>
      </w:r>
    </w:p>
    <w:p w:rsidR="00000000" w:rsidDel="00000000" w:rsidP="00000000" w:rsidRDefault="00000000" w:rsidRPr="00000000" w14:paraId="00000016">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Permeabilidad de K</w:t>
      </w:r>
      <w:r w:rsidDel="00000000" w:rsidR="00000000" w:rsidRPr="00000000">
        <w:rPr>
          <w:rFonts w:ascii="Arial" w:cs="Arial" w:eastAsia="Arial" w:hAnsi="Arial"/>
          <w:sz w:val="24"/>
          <w:szCs w:val="24"/>
          <w:vertAlign w:val="superscript"/>
          <w:rtl w:val="0"/>
        </w:rPr>
        <w:t xml:space="preserve">+</w:t>
      </w:r>
      <w:r w:rsidDel="00000000" w:rsidR="00000000" w:rsidRPr="00000000">
        <w:rPr>
          <w:rFonts w:ascii="Arial" w:cs="Arial" w:eastAsia="Arial" w:hAnsi="Arial"/>
          <w:sz w:val="24"/>
          <w:szCs w:val="24"/>
          <w:rtl w:val="0"/>
        </w:rPr>
        <w:t xml:space="preserve">: 65</w:t>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2"/>
        <w:gridCol w:w="2958"/>
        <w:gridCol w:w="2958"/>
        <w:tblGridChange w:id="0">
          <w:tblGrid>
            <w:gridCol w:w="2912"/>
            <w:gridCol w:w="2958"/>
            <w:gridCol w:w="2958"/>
          </w:tblGrid>
        </w:tblGridChange>
      </w:tblGrid>
      <w:tr>
        <w:tc>
          <w:tcPr/>
          <w:p w:rsidR="00000000" w:rsidDel="00000000" w:rsidP="00000000" w:rsidRDefault="00000000" w:rsidRPr="00000000" w14:paraId="00000017">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Ion</w:t>
            </w:r>
          </w:p>
        </w:tc>
        <w:tc>
          <w:tcPr/>
          <w:p w:rsidR="00000000" w:rsidDel="00000000" w:rsidP="00000000" w:rsidRDefault="00000000" w:rsidRPr="00000000" w14:paraId="00000018">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Concentración Intracelular</w:t>
            </w:r>
          </w:p>
        </w:tc>
        <w:tc>
          <w:tcPr/>
          <w:p w:rsidR="00000000" w:rsidDel="00000000" w:rsidP="00000000" w:rsidRDefault="00000000" w:rsidRPr="00000000" w14:paraId="00000019">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Concentración extracelular</w:t>
            </w:r>
          </w:p>
        </w:tc>
      </w:tr>
      <w:tr>
        <w:tc>
          <w:tcPr/>
          <w:p w:rsidR="00000000" w:rsidDel="00000000" w:rsidP="00000000" w:rsidRDefault="00000000" w:rsidRPr="00000000" w14:paraId="0000001A">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w:t>
            </w:r>
            <w:r w:rsidDel="00000000" w:rsidR="00000000" w:rsidRPr="00000000">
              <w:rPr>
                <w:rFonts w:ascii="Arial" w:cs="Arial" w:eastAsia="Arial" w:hAnsi="Arial"/>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1B">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1C">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145</w:t>
            </w:r>
          </w:p>
        </w:tc>
      </w:tr>
      <w:tr>
        <w:tc>
          <w:tcPr/>
          <w:p w:rsidR="00000000" w:rsidDel="00000000" w:rsidP="00000000" w:rsidRDefault="00000000" w:rsidRPr="00000000" w14:paraId="0000001D">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1E">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138</w:t>
            </w:r>
          </w:p>
        </w:tc>
        <w:tc>
          <w:tcPr/>
          <w:p w:rsidR="00000000" w:rsidDel="00000000" w:rsidP="00000000" w:rsidRDefault="00000000" w:rsidRPr="00000000" w14:paraId="0000001F">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3.9</w:t>
            </w:r>
          </w:p>
        </w:tc>
      </w:tr>
    </w:tbl>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2.- ¿Cuál es el potencial de membrana de acuerdo a las siguientes concentraciones intracelulares y extracelulares de los iones de Sodio y Potasio?</w:t>
      </w:r>
    </w:p>
    <w:p w:rsidR="00000000" w:rsidDel="00000000" w:rsidP="00000000" w:rsidRDefault="00000000" w:rsidRPr="00000000" w14:paraId="00000022">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Permeabilidad de Na</w:t>
      </w:r>
      <w:r w:rsidDel="00000000" w:rsidR="00000000" w:rsidRPr="00000000">
        <w:rPr>
          <w:rFonts w:ascii="Arial" w:cs="Arial" w:eastAsia="Arial" w:hAnsi="Arial"/>
          <w:sz w:val="24"/>
          <w:szCs w:val="24"/>
          <w:vertAlign w:val="superscript"/>
          <w:rtl w:val="0"/>
        </w:rPr>
        <w:t xml:space="preserve">+</w:t>
      </w:r>
      <w:r w:rsidDel="00000000" w:rsidR="00000000" w:rsidRPr="00000000">
        <w:rPr>
          <w:rFonts w:ascii="Arial" w:cs="Arial" w:eastAsia="Arial" w:hAnsi="Arial"/>
          <w:sz w:val="24"/>
          <w:szCs w:val="24"/>
          <w:rtl w:val="0"/>
        </w:rPr>
        <w:t xml:space="preserve">: 1</w:t>
      </w:r>
    </w:p>
    <w:p w:rsidR="00000000" w:rsidDel="00000000" w:rsidP="00000000" w:rsidRDefault="00000000" w:rsidRPr="00000000" w14:paraId="00000023">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Permeabilidad de K</w:t>
      </w:r>
      <w:r w:rsidDel="00000000" w:rsidR="00000000" w:rsidRPr="00000000">
        <w:rPr>
          <w:rFonts w:ascii="Arial" w:cs="Arial" w:eastAsia="Arial" w:hAnsi="Arial"/>
          <w:sz w:val="24"/>
          <w:szCs w:val="24"/>
          <w:vertAlign w:val="superscript"/>
          <w:rtl w:val="0"/>
        </w:rPr>
        <w:t xml:space="preserve">+</w:t>
      </w:r>
      <w:r w:rsidDel="00000000" w:rsidR="00000000" w:rsidRPr="00000000">
        <w:rPr>
          <w:rFonts w:ascii="Arial" w:cs="Arial" w:eastAsia="Arial" w:hAnsi="Arial"/>
          <w:sz w:val="24"/>
          <w:szCs w:val="24"/>
          <w:rtl w:val="0"/>
        </w:rPr>
        <w:t xml:space="preserve">: 65</w:t>
      </w:r>
    </w:p>
    <w:tbl>
      <w:tblPr>
        <w:tblStyle w:val="Table2"/>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12"/>
        <w:gridCol w:w="2958"/>
        <w:gridCol w:w="2958"/>
        <w:tblGridChange w:id="0">
          <w:tblGrid>
            <w:gridCol w:w="2912"/>
            <w:gridCol w:w="2958"/>
            <w:gridCol w:w="2958"/>
          </w:tblGrid>
        </w:tblGridChange>
      </w:tblGrid>
      <w:tr>
        <w:tc>
          <w:tcPr/>
          <w:p w:rsidR="00000000" w:rsidDel="00000000" w:rsidP="00000000" w:rsidRDefault="00000000" w:rsidRPr="00000000" w14:paraId="00000024">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Ion</w:t>
            </w:r>
          </w:p>
        </w:tc>
        <w:tc>
          <w:tcPr/>
          <w:p w:rsidR="00000000" w:rsidDel="00000000" w:rsidP="00000000" w:rsidRDefault="00000000" w:rsidRPr="00000000" w14:paraId="00000025">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Concentración Intracelular</w:t>
            </w:r>
          </w:p>
        </w:tc>
        <w:tc>
          <w:tcPr/>
          <w:p w:rsidR="00000000" w:rsidDel="00000000" w:rsidP="00000000" w:rsidRDefault="00000000" w:rsidRPr="00000000" w14:paraId="00000026">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Concentración extracelular</w:t>
            </w:r>
          </w:p>
        </w:tc>
      </w:tr>
      <w:tr>
        <w:tc>
          <w:tcPr/>
          <w:p w:rsidR="00000000" w:rsidDel="00000000" w:rsidP="00000000" w:rsidRDefault="00000000" w:rsidRPr="00000000" w14:paraId="00000027">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Na</w:t>
            </w:r>
            <w:r w:rsidDel="00000000" w:rsidR="00000000" w:rsidRPr="00000000">
              <w:rPr>
                <w:rFonts w:ascii="Arial" w:cs="Arial" w:eastAsia="Arial" w:hAnsi="Arial"/>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28">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145</w:t>
            </w:r>
          </w:p>
        </w:tc>
        <w:tc>
          <w:tcPr/>
          <w:p w:rsidR="00000000" w:rsidDel="00000000" w:rsidP="00000000" w:rsidRDefault="00000000" w:rsidRPr="00000000" w14:paraId="00000029">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r>
      <w:tr>
        <w:tc>
          <w:tcPr/>
          <w:p w:rsidR="00000000" w:rsidDel="00000000" w:rsidP="00000000" w:rsidRDefault="00000000" w:rsidRPr="00000000" w14:paraId="0000002A">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w:t>
            </w:r>
            <w:r w:rsidDel="00000000" w:rsidR="00000000" w:rsidRPr="00000000">
              <w:rPr>
                <w:rFonts w:ascii="Arial" w:cs="Arial" w:eastAsia="Arial" w:hAnsi="Arial"/>
                <w:sz w:val="24"/>
                <w:szCs w:val="24"/>
                <w:vertAlign w:val="superscript"/>
                <w:rtl w:val="0"/>
              </w:rPr>
              <w:t xml:space="preserve">+</w:t>
            </w:r>
            <w:r w:rsidDel="00000000" w:rsidR="00000000" w:rsidRPr="00000000">
              <w:rPr>
                <w:rtl w:val="0"/>
              </w:rPr>
            </w:r>
          </w:p>
        </w:tc>
        <w:tc>
          <w:tcPr/>
          <w:p w:rsidR="00000000" w:rsidDel="00000000" w:rsidP="00000000" w:rsidRDefault="00000000" w:rsidRPr="00000000" w14:paraId="0000002B">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3.9</w:t>
            </w:r>
          </w:p>
        </w:tc>
        <w:tc>
          <w:tcPr/>
          <w:p w:rsidR="00000000" w:rsidDel="00000000" w:rsidP="00000000" w:rsidRDefault="00000000" w:rsidRPr="00000000" w14:paraId="0000002C">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138</w:t>
            </w:r>
          </w:p>
        </w:tc>
      </w:tr>
    </w:tbl>
    <w:p w:rsidR="00000000" w:rsidDel="00000000" w:rsidP="00000000" w:rsidRDefault="00000000" w:rsidRPr="00000000" w14:paraId="0000002D">
      <w:pPr>
        <w:ind w:left="360" w:firstLine="0"/>
        <w:rPr>
          <w:rFonts w:ascii="Arial" w:cs="Arial" w:eastAsia="Arial" w:hAnsi="Arial"/>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E">
      <w:pPr>
        <w:ind w:left="360" w:firstLine="0"/>
        <w:rPr>
          <w:rFonts w:ascii="Arial" w:cs="Arial" w:eastAsia="Arial" w:hAnsi="Arial"/>
          <w:sz w:val="24"/>
          <w:szCs w:val="24"/>
        </w:rPr>
      </w:pPr>
      <w:bookmarkStart w:colFirst="0" w:colLast="0" w:name="_heading=h.j1ng0xwn64h1" w:id="1"/>
      <w:bookmarkEnd w:id="1"/>
      <w:r w:rsidDel="00000000" w:rsidR="00000000" w:rsidRPr="00000000">
        <w:rPr>
          <w:rFonts w:ascii="Arial" w:cs="Arial" w:eastAsia="Arial" w:hAnsi="Arial"/>
          <w:sz w:val="24"/>
          <w:szCs w:val="24"/>
          <w:rtl w:val="0"/>
        </w:rPr>
        <w:t xml:space="preserve">3.- Dejando los parámetros por default del Ejercicio 4 del simulador MetaNeuron. ¿Cuál es la amplitud (en Micro Ampers) mínima necesaria, en valores enteros para generar un potencial de acción? (Detección de estimulación umbral para generar un potencial de acción)</w:t>
      </w:r>
    </w:p>
    <w:p w:rsidR="00000000" w:rsidDel="00000000" w:rsidP="00000000" w:rsidRDefault="00000000" w:rsidRPr="00000000" w14:paraId="0000002F">
      <w:pPr>
        <w:ind w:left="360" w:firstLine="0"/>
        <w:rPr>
          <w:rFonts w:ascii="Arial" w:cs="Arial" w:eastAsia="Arial" w:hAnsi="Arial"/>
          <w:sz w:val="24"/>
          <w:szCs w:val="24"/>
        </w:rPr>
      </w:pPr>
      <w:bookmarkStart w:colFirst="0" w:colLast="0" w:name="_heading=h.r4h7wprrmy9y" w:id="2"/>
      <w:bookmarkEnd w:id="2"/>
      <w:r w:rsidDel="00000000" w:rsidR="00000000" w:rsidRPr="00000000">
        <w:rPr>
          <w:rtl w:val="0"/>
        </w:rPr>
      </w:r>
    </w:p>
    <w:p w:rsidR="00000000" w:rsidDel="00000000" w:rsidP="00000000" w:rsidRDefault="00000000" w:rsidRPr="00000000" w14:paraId="00000030">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4.- Dejando los parámetros por default del Ejercicio 4 del simulador MetaNeuron. ¿Cuál es el valor mínimo necesario de retraso (Delay), en valores enteros del estímulo 2 para generar un segundo potencial de acción? (Periodo refractario)</w:t>
      </w:r>
    </w:p>
    <w:p w:rsidR="00000000" w:rsidDel="00000000" w:rsidP="00000000" w:rsidRDefault="00000000" w:rsidRPr="00000000" w14:paraId="00000031">
      <w:pPr>
        <w:ind w:left="3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5.- Dejando los parámetros por default del Ejercicio 4 del simulador MetaNeuron y ajustando los siguientes valores del estímulo 1:</w:t>
      </w:r>
    </w:p>
    <w:p w:rsidR="00000000" w:rsidDel="00000000" w:rsidP="00000000" w:rsidRDefault="00000000" w:rsidRPr="00000000" w14:paraId="00000033">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Delay (ms): (50)</w:t>
      </w:r>
    </w:p>
    <w:p w:rsidR="00000000" w:rsidDel="00000000" w:rsidP="00000000" w:rsidRDefault="00000000" w:rsidRPr="00000000" w14:paraId="00000034">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Width (ms): (200)</w:t>
      </w:r>
    </w:p>
    <w:p w:rsidR="00000000" w:rsidDel="00000000" w:rsidP="00000000" w:rsidRDefault="00000000" w:rsidRPr="00000000" w14:paraId="00000035">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Amplitude (uA) (10)</w:t>
      </w:r>
    </w:p>
    <w:p w:rsidR="00000000" w:rsidDel="00000000" w:rsidP="00000000" w:rsidRDefault="00000000" w:rsidRPr="00000000" w14:paraId="00000036">
      <w:pPr>
        <w:ind w:left="3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¿Cuál es el máximo número de potenciales de acción obtenidos?</w:t>
      </w:r>
    </w:p>
    <w:p w:rsidR="00000000" w:rsidDel="00000000" w:rsidP="00000000" w:rsidRDefault="00000000" w:rsidRPr="00000000" w14:paraId="0000003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81773"/>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aconcuadrcula">
    <w:name w:val="Table Grid"/>
    <w:basedOn w:val="Tablanormal"/>
    <w:uiPriority w:val="39"/>
    <w:rsid w:val="0098177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Prrafodelista">
    <w:name w:val="List Paragraph"/>
    <w:basedOn w:val="Normal"/>
    <w:uiPriority w:val="34"/>
    <w:qFormat w:val="1"/>
    <w:rsid w:val="003C4E5E"/>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otDUAglQtWVw4r/kQeFWOUnV3g==">AMUW2mVo/7ye/J7J12XbAyFXKRnINFt9402cCuq0WHbgGwlFSftOxgior8SbWO4aPW79JI4Va8OH2c/sz24fhB3XXRjCD1/aW07mkYO/bbm5A9b9Puke7RYKKT7wLWEiihqTEn7xyRkPRVukjlpyjt+SMTAYCq7c/jHiV84BzIrV+I6mBga1650=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2020-07-11T18:42:00Z</dcterms:created>
  <dc:creator>Arias-García</dc:creator>
</cp:coreProperties>
</file>